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FEFEF"/>
  <w:body>
    <w:p w:rsidR="00000000" w:rsidDel="00000000" w:rsidP="00000000" w:rsidRDefault="00000000" w:rsidRPr="00000000" w14:paraId="00000001">
      <w:pPr>
        <w:pageBreakBefore w:val="0"/>
        <w:ind w:right="116.22047244094574"/>
        <w:rPr>
          <w:rFonts w:ascii="Calibri" w:cs="Calibri" w:eastAsia="Calibri" w:hAnsi="Calibri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right="116.22047244094574"/>
        <w:rPr>
          <w:rFonts w:ascii="Calibri" w:cs="Calibri" w:eastAsia="Calibri" w:hAnsi="Calibri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right="116.22047244094574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rtl w:val="0"/>
        </w:rPr>
        <w:t xml:space="preserve">CHALLENGE 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2"/>
        </w:numPr>
        <w:ind w:left="720" w:right="116.22047244094574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 Caterpillar 3516B engine was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due for the 2nd Top End Overhaul as per the OEM recommendation </w:t>
      </w:r>
    </w:p>
    <w:p w:rsidR="00000000" w:rsidDel="00000000" w:rsidP="00000000" w:rsidRDefault="00000000" w:rsidRPr="00000000" w14:paraId="00000005">
      <w:pPr>
        <w:pageBreakBefore w:val="0"/>
        <w:ind w:left="720" w:right="116.22047244094574" w:firstLine="0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based on the running hours,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but the rig owner had a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budget constraint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right="116.22047244094574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right="116.22047244094574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right="116.22047244094574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rtl w:val="0"/>
        </w:rPr>
        <w:t xml:space="preserve">SOLUTION 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2"/>
        </w:numPr>
        <w:ind w:left="720" w:right="116.22047244094574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Neptunus has been a</w:t>
      </w:r>
      <w:r w:rsidDel="00000000" w:rsidR="00000000" w:rsidRPr="00000000">
        <w:rPr>
          <w:rFonts w:ascii="Roboto" w:cs="Roboto" w:eastAsia="Roboto" w:hAnsi="Roboto"/>
          <w:color w:val="1c4587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preferred partner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to this customer for engine maintenance across their multiple rigs 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2"/>
        </w:numPr>
        <w:ind w:left="720" w:right="116.22047244094574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Neptunus’ expert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advised for pre-overhaul diagnostics using torsional vibration analysis</w:t>
      </w:r>
      <w:r w:rsidDel="00000000" w:rsidR="00000000" w:rsidRPr="00000000">
        <w:rPr>
          <w:rFonts w:ascii="Roboto" w:cs="Roboto" w:eastAsia="Roboto" w:hAnsi="Roboto"/>
          <w:color w:val="1c4587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The objective was to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optimize the spare parts list, consumables, manpower and downtime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of overhaul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4391025</wp:posOffset>
            </wp:positionH>
            <wp:positionV relativeFrom="paragraph">
              <wp:posOffset>85725</wp:posOffset>
            </wp:positionV>
            <wp:extent cx="3114412" cy="1689333"/>
            <wp:effectExtent b="12700" l="12700" r="12700" t="12700"/>
            <wp:wrapSquare wrapText="bothSides" distB="19050" distT="19050" distL="19050" distR="1905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30372" l="51223" r="9941" t="17859"/>
                    <a:stretch>
                      <a:fillRect/>
                    </a:stretch>
                  </pic:blipFill>
                  <pic:spPr>
                    <a:xfrm>
                      <a:off x="0" y="0"/>
                      <a:ext cx="3114412" cy="1689333"/>
                    </a:xfrm>
                    <a:prstGeom prst="rect"/>
                    <a:ln w="127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2"/>
        </w:numPr>
        <w:ind w:left="720" w:right="116.22047244094574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Neptunus’ team went onboard &amp; carried out the engine health inspection through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torsional vibration tool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2"/>
        </w:numPr>
        <w:ind w:left="720" w:right="116.22047244094574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report data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showed issues with the fuel injection quality and the crankshaft main bearings</w:t>
      </w:r>
      <w:r w:rsidDel="00000000" w:rsidR="00000000" w:rsidRPr="00000000">
        <w:rPr>
          <w:rFonts w:ascii="Roboto" w:cs="Roboto" w:eastAsia="Roboto" w:hAnsi="Roboto"/>
          <w:color w:val="1c4587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Other health parameters were within acceptable limits. Based on this data,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Neptunus recommended only a Top End Overhaul</w:t>
      </w:r>
      <w:r w:rsidDel="00000000" w:rsidR="00000000" w:rsidRPr="00000000">
        <w:rPr>
          <w:rFonts w:ascii="Roboto" w:cs="Roboto" w:eastAsia="Roboto" w:hAnsi="Roboto"/>
          <w:color w:val="1c4587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instead of a 2nd Top End Overhaul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2"/>
        </w:numPr>
        <w:ind w:left="720" w:right="116.22047244094574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diagnostic findings were reaffirmed when the engine was dismantled for a Top End Overhaul. The hatch marks on the liner &amp; cylinder bore dimensions were observed to be in limits as per the OEM recommendation. 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2"/>
        </w:numPr>
        <w:ind w:left="720" w:right="116.22047244094574" w:hanging="360"/>
        <w:rPr>
          <w:rFonts w:ascii="Roboto" w:cs="Roboto" w:eastAsia="Roboto" w:hAnsi="Roboto"/>
          <w:b w:val="1"/>
          <w:color w:val="1c4587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Engine has been running smoothly for over 6000 hours after the Top End Overhaul</w:t>
      </w:r>
    </w:p>
    <w:p w:rsidR="00000000" w:rsidDel="00000000" w:rsidP="00000000" w:rsidRDefault="00000000" w:rsidRPr="00000000" w14:paraId="0000000F">
      <w:pPr>
        <w:pageBreakBefore w:val="0"/>
        <w:ind w:right="116.22047244094574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right="116.22047244094574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right="116.22047244094574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rtl w:val="0"/>
        </w:rPr>
        <w:t xml:space="preserve">BENEFITS 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2"/>
        </w:numPr>
        <w:ind w:left="720" w:right="116.22047244094574" w:hanging="360"/>
        <w:rPr/>
      </w:pPr>
      <w:r w:rsidDel="00000000" w:rsidR="00000000" w:rsidRPr="00000000">
        <w:rPr>
          <w:rFonts w:ascii="Roboto" w:cs="Roboto" w:eastAsia="Roboto" w:hAnsi="Roboto"/>
          <w:b w:val="1"/>
          <w:color w:val="980000"/>
          <w:rtl w:val="0"/>
        </w:rPr>
        <w:t xml:space="preserve">Direct savings of ~USD 52,000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due to lesser cost of overhaul.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This </w:t>
      </w:r>
      <w:r w:rsidDel="00000000" w:rsidR="00000000" w:rsidRPr="00000000">
        <w:rPr>
          <w:rFonts w:ascii="Roboto" w:cs="Roboto" w:eastAsia="Roboto" w:hAnsi="Roboto"/>
          <w:b w:val="1"/>
          <w:color w:val="980000"/>
          <w:rtl w:val="0"/>
        </w:rPr>
        <w:t xml:space="preserve">increased the profitability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of the rig.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2"/>
        </w:numPr>
        <w:ind w:left="720" w:right="116.22047244094574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We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980000"/>
          <w:rtl w:val="0"/>
        </w:rPr>
        <w:t xml:space="preserve">saved 4 days due to the reduced scope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(8 days vs 12 days)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thus expediting the rig repair project.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It allowed the rig and technical teams to</w:t>
      </w:r>
      <w:r w:rsidDel="00000000" w:rsidR="00000000" w:rsidRPr="00000000">
        <w:rPr>
          <w:rFonts w:ascii="Roboto" w:cs="Roboto" w:eastAsia="Roboto" w:hAnsi="Roboto"/>
          <w:color w:val="98000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980000"/>
          <w:rtl w:val="0"/>
        </w:rPr>
        <w:t xml:space="preserve">focus on the core drilling operations rather than worry about the uncertainty of engine reliability. 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.0000000000002" w:top="1440.0000000000002" w:left="187.08661417322838" w:right="187.08661417322838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2"/>
      <w:tblW w:w="11715.0" w:type="dxa"/>
      <w:jc w:val="center"/>
      <w:tblLayout w:type="fixed"/>
      <w:tblLook w:val="0600"/>
    </w:tblPr>
    <w:tblGrid>
      <w:gridCol w:w="11715"/>
      <w:tblGridChange w:id="0">
        <w:tblGrid>
          <w:gridCol w:w="11715"/>
        </w:tblGrid>
      </w:tblGridChange>
    </w:tblGrid>
    <w:tr>
      <w:trPr>
        <w:cantSplit w:val="0"/>
        <w:tblHeader w:val="0"/>
      </w:trPr>
      <w:tc>
        <w:tcPr>
          <w:shd w:fill="ff950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80" w:right="225" w:firstLine="0"/>
            <w:jc w:val="center"/>
            <w:rPr>
              <w:rFonts w:ascii="Montserrat" w:cs="Montserrat" w:eastAsia="Montserrat" w:hAnsi="Montserrat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1c4587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A">
          <w:pPr>
            <w:pageBreakBefore w:val="0"/>
            <w:ind w:left="180" w:right="225" w:firstLine="0"/>
            <w:jc w:val="center"/>
            <w:rPr>
              <w:rFonts w:ascii="Montserrat" w:cs="Montserrat" w:eastAsia="Montserrat" w:hAnsi="Montserrat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Neptunus has 25+ years of experience &amp; expertise in reliability engineering solutions for engines, generators &amp; other rotating equipment. </w:t>
          </w:r>
        </w:p>
        <w:p w:rsidR="00000000" w:rsidDel="00000000" w:rsidP="00000000" w:rsidRDefault="00000000" w:rsidRPr="00000000" w14:paraId="0000002C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Our solutions include Engine. Lifecycle Management, Asset Reliability Management &amp; Turnkey EPC &amp; MEP Services. We serve global customers in marine, oil &amp; gas, industrial and data centers. </w:t>
          </w:r>
        </w:p>
        <w:p w:rsidR="00000000" w:rsidDel="00000000" w:rsidP="00000000" w:rsidRDefault="00000000" w:rsidRPr="00000000" w14:paraId="0000002D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hyperlink r:id="rId1">
            <w:r w:rsidDel="00000000" w:rsidR="00000000" w:rsidRPr="00000000">
              <w:rPr>
                <w:rFonts w:ascii="Roboto" w:cs="Roboto" w:eastAsia="Roboto" w:hAnsi="Roboto"/>
                <w:color w:val="ffffff"/>
                <w:sz w:val="12"/>
                <w:szCs w:val="12"/>
                <w:u w:val="single"/>
                <w:rtl w:val="0"/>
              </w:rPr>
              <w:t xml:space="preserve">www.neptunus-power.com</w:t>
            </w:r>
          </w:hyperlink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info@neptunus-power.com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+91 95944 10707</w:t>
          </w:r>
        </w:p>
        <w:p w:rsidR="00000000" w:rsidDel="00000000" w:rsidP="00000000" w:rsidRDefault="00000000" w:rsidRPr="00000000" w14:paraId="0000002E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5676900</wp:posOffset>
              </wp:positionH>
              <wp:positionV relativeFrom="paragraph">
                <wp:posOffset>28575</wp:posOffset>
              </wp:positionV>
              <wp:extent cx="1845722" cy="2509838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559625" y="152400"/>
                        <a:ext cx="1845722" cy="2509838"/>
                        <a:chOff x="2559625" y="152400"/>
                        <a:chExt cx="4975950" cy="6768025"/>
                      </a:xfrm>
                    </wpg:grpSpPr>
                    <pic:pic>
                      <pic:nvPicPr>
                        <pic:cNvPr descr="Untitled design (15).png"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0" l="13240" r="13240" t="0"/>
                        <a:stretch/>
                      </pic:blipFill>
                      <pic:spPr>
                        <a:xfrm>
                          <a:off x="2559625" y="152400"/>
                          <a:ext cx="4975950" cy="676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5676900</wp:posOffset>
              </wp:positionH>
              <wp:positionV relativeFrom="paragraph">
                <wp:posOffset>28575</wp:posOffset>
              </wp:positionV>
              <wp:extent cx="1845722" cy="2509838"/>
              <wp:effectExtent b="0" l="0" r="0" t="0"/>
              <wp:wrapSquare wrapText="bothSides" distB="0" distT="0" distL="0" distR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5722" cy="25098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9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sz w:val="4"/>
        <w:szCs w:val="4"/>
        <w:rtl w:val="0"/>
      </w:rPr>
      <w:t xml:space="preserve">                          </w:t>
    </w:r>
    <w:r w:rsidDel="00000000" w:rsidR="00000000" w:rsidRPr="00000000">
      <w:rPr>
        <w:sz w:val="4"/>
        <w:szCs w:val="4"/>
      </w:rPr>
      <w:drawing>
        <wp:inline distB="114300" distT="114300" distL="114300" distR="114300">
          <wp:extent cx="1415982" cy="48577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982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ageBreakBefore w:val="0"/>
      <w:ind w:left="90" w:right="225" w:firstLine="0"/>
      <w:rPr>
        <w:rFonts w:ascii="Montserrat" w:cs="Montserrat" w:eastAsia="Montserrat" w:hAnsi="Montserrat"/>
        <w:b w:val="1"/>
        <w:color w:val="1c4587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rPr>
        <w:rFonts w:ascii="Raleway" w:cs="Raleway" w:eastAsia="Raleway" w:hAnsi="Raleway"/>
        <w:b w:val="1"/>
        <w:color w:val="1c4587"/>
        <w:sz w:val="36"/>
        <w:szCs w:val="36"/>
      </w:rPr>
    </w:pP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Engine Health Diagnostic Prior to Overhaul saved 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~$52,000 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by optimizing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 the scope of one overhaul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ind w:left="90" w:right="225" w:firstLine="0"/>
      <w:rPr>
        <w:rFonts w:ascii="Montserrat" w:cs="Montserrat" w:eastAsia="Montserrat" w:hAnsi="Montserrat"/>
        <w:b w:val="1"/>
      </w:rPr>
    </w:pPr>
    <w:r w:rsidDel="00000000" w:rsidR="00000000" w:rsidRPr="00000000">
      <w:rPr>
        <w:rtl w:val="0"/>
      </w:rPr>
    </w:r>
  </w:p>
  <w:tbl>
    <w:tblPr>
      <w:tblStyle w:val="Table1"/>
      <w:tblW w:w="8970.0" w:type="dxa"/>
      <w:jc w:val="left"/>
      <w:tblInd w:w="0.0" w:type="pct"/>
      <w:tblBorders>
        <w:top w:color="efefef" w:space="0" w:sz="8" w:val="single"/>
        <w:left w:color="efefef" w:space="0" w:sz="8" w:val="single"/>
        <w:bottom w:color="efefef" w:space="0" w:sz="8" w:val="single"/>
        <w:right w:color="efefef" w:space="0" w:sz="8" w:val="single"/>
        <w:insideH w:color="efefef" w:space="0" w:sz="8" w:val="single"/>
        <w:insideV w:color="efefef" w:space="0" w:sz="8" w:val="single"/>
      </w:tblBorders>
      <w:tblLayout w:type="fixed"/>
      <w:tblLook w:val="0600"/>
    </w:tblPr>
    <w:tblGrid>
      <w:gridCol w:w="2805"/>
      <w:gridCol w:w="6165"/>
      <w:tblGridChange w:id="0">
        <w:tblGrid>
          <w:gridCol w:w="2805"/>
          <w:gridCol w:w="6165"/>
        </w:tblGrid>
      </w:tblGridChange>
    </w:tblGrid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F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INDUSTRY SEGMENT: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0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Oil &amp; Gas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1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CUSTOMER: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2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Jack Up rig operator in India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3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EQUIPMENT: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4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3516B Caterpillar diesel engines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5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ARM SOLUTION: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6">
          <w:pPr>
            <w:pageBreakBefore w:val="0"/>
            <w:spacing w:line="240" w:lineRule="auto"/>
            <w:ind w:left="0" w:right="-90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  Engine Health Diagnostics through torsional vibration solution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7">
    <w:pPr>
      <w:pageBreakBefore w:val="0"/>
      <w:spacing w:line="360" w:lineRule="auto"/>
      <w:ind w:right="225"/>
      <w:rPr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neptunus-power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