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EFEFEF"/>
  <w:body>
    <w:p w:rsidR="00000000" w:rsidDel="00000000" w:rsidP="00000000" w:rsidRDefault="00000000" w:rsidRPr="00000000" w14:paraId="00000001">
      <w:pPr>
        <w:pageBreakBefore w:val="0"/>
        <w:ind w:right="-90"/>
        <w:rPr>
          <w:rFonts w:ascii="Roboto" w:cs="Roboto" w:eastAsia="Roboto" w:hAnsi="Roboto"/>
          <w:b w:val="1"/>
          <w:color w:val="28359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ind w:right="-90"/>
        <w:rPr>
          <w:rFonts w:ascii="Roboto" w:cs="Roboto" w:eastAsia="Roboto" w:hAnsi="Roboto"/>
          <w:b w:val="1"/>
          <w:color w:val="28359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283592"/>
          <w:sz w:val="24"/>
          <w:szCs w:val="24"/>
          <w:rtl w:val="0"/>
        </w:rPr>
        <w:t xml:space="preserve">CHALLENGE </w:t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1"/>
        </w:numPr>
        <w:ind w:left="720" w:right="-9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7 vessels were due for a major overhaul as per OEM’s maintenance cycle at 24,000 running hours which would have cost the customer $2,50,000</w:t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ind w:left="720" w:right="-9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Along with the cost this major overhaul would have cost the customer about 18-20 days of downtime for each vessel, resulting in loss of revenue</w:t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ind w:left="720" w:right="-9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The life-cycle of each vessel is around 20 years, approximately 65,000 running hours, meaning 2 MOH have to be performed for each vessel before it’s scrapped.</w:t>
      </w:r>
    </w:p>
    <w:p w:rsidR="00000000" w:rsidDel="00000000" w:rsidP="00000000" w:rsidRDefault="00000000" w:rsidRPr="00000000" w14:paraId="00000006">
      <w:pPr>
        <w:pageBreakBefore w:val="0"/>
        <w:ind w:left="720" w:right="-9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4905375</wp:posOffset>
            </wp:positionH>
            <wp:positionV relativeFrom="paragraph">
              <wp:posOffset>276225</wp:posOffset>
            </wp:positionV>
            <wp:extent cx="2590537" cy="4004387"/>
            <wp:effectExtent b="25400" l="25400" r="25400" t="2540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528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537" cy="4004387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pageBreakBefore w:val="0"/>
        <w:ind w:right="-9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283592"/>
          <w:sz w:val="24"/>
          <w:szCs w:val="24"/>
          <w:rtl w:val="0"/>
        </w:rPr>
        <w:t xml:space="preserve">SOLUTION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ind w:left="720" w:right="-9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The Customer deployed Neptunus’ </w:t>
      </w:r>
      <w:r w:rsidDel="00000000" w:rsidR="00000000" w:rsidRPr="00000000">
        <w:rPr>
          <w:rFonts w:ascii="Roboto" w:cs="Roboto" w:eastAsia="Roboto" w:hAnsi="Roboto"/>
          <w:b w:val="1"/>
          <w:color w:val="1c4587"/>
          <w:rtl w:val="0"/>
        </w:rPr>
        <w:t xml:space="preserve">engine condition monitoring system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(part of Neptunus’  </w:t>
      </w:r>
      <w:r w:rsidDel="00000000" w:rsidR="00000000" w:rsidRPr="00000000">
        <w:rPr>
          <w:rFonts w:ascii="Roboto" w:cs="Roboto" w:eastAsia="Roboto" w:hAnsi="Roboto"/>
          <w:b w:val="1"/>
          <w:color w:val="1c4587"/>
          <w:rtl w:val="0"/>
        </w:rPr>
        <w:t xml:space="preserve">Asset Reliability Management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solution) on all 14 engines of their 7 tugs for an engine health checkup which was already above 24,000 running hours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1"/>
        </w:numPr>
        <w:ind w:left="720" w:right="-9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Neptunus did the engine health check without opening up the engine and with the help of</w:t>
      </w:r>
      <w:r w:rsidDel="00000000" w:rsidR="00000000" w:rsidRPr="00000000">
        <w:rPr>
          <w:rFonts w:ascii="Roboto" w:cs="Roboto" w:eastAsia="Roboto" w:hAnsi="Roboto"/>
          <w:b w:val="1"/>
          <w:color w:val="283592"/>
          <w:rtl w:val="0"/>
        </w:rPr>
        <w:t xml:space="preserve"> 2 sensors only we submitted a conclusive report which indicated to replacing only 2 injectors on a couple of their tugs and they can run further without a major overhaul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1"/>
        </w:numPr>
        <w:ind w:left="720" w:right="-90" w:hanging="360"/>
        <w:rPr/>
      </w:pPr>
      <w:r w:rsidDel="00000000" w:rsidR="00000000" w:rsidRPr="00000000">
        <w:rPr>
          <w:rFonts w:ascii="Roboto" w:cs="Roboto" w:eastAsia="Roboto" w:hAnsi="Roboto"/>
          <w:rtl w:val="0"/>
        </w:rPr>
        <w:t xml:space="preserve">This helped the customer make a </w:t>
      </w:r>
      <w:r w:rsidDel="00000000" w:rsidR="00000000" w:rsidRPr="00000000">
        <w:rPr>
          <w:rFonts w:ascii="Roboto" w:cs="Roboto" w:eastAsia="Roboto" w:hAnsi="Roboto"/>
          <w:b w:val="1"/>
          <w:color w:val="1c4587"/>
          <w:rtl w:val="0"/>
        </w:rPr>
        <w:t xml:space="preserve">confident data-backed decision, replace only the required parts and extend the major overhaul</w:t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1"/>
        </w:numPr>
        <w:ind w:left="720" w:right="-90" w:hanging="360"/>
        <w:rPr>
          <w:rFonts w:ascii="Roboto" w:cs="Roboto" w:eastAsia="Roboto" w:hAnsi="Roboto"/>
          <w:b w:val="1"/>
          <w:color w:val="1c4587"/>
        </w:rPr>
      </w:pPr>
      <w:r w:rsidDel="00000000" w:rsidR="00000000" w:rsidRPr="00000000">
        <w:rPr>
          <w:rFonts w:ascii="Roboto" w:cs="Roboto" w:eastAsia="Roboto" w:hAnsi="Roboto"/>
          <w:b w:val="1"/>
          <w:color w:val="1c4587"/>
          <w:rtl w:val="0"/>
        </w:rPr>
        <w:t xml:space="preserve">With the extension of 1st MOH, the customer is able to eliminate 2nd MOH in life-cycle of these vessels</w:t>
      </w:r>
    </w:p>
    <w:p w:rsidR="00000000" w:rsidDel="00000000" w:rsidP="00000000" w:rsidRDefault="00000000" w:rsidRPr="00000000" w14:paraId="0000000C">
      <w:pPr>
        <w:pageBreakBefore w:val="0"/>
        <w:ind w:right="-90"/>
        <w:rPr>
          <w:rFonts w:ascii="Roboto" w:cs="Roboto" w:eastAsia="Roboto" w:hAnsi="Roboto"/>
          <w:b w:val="1"/>
          <w:color w:val="28359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ind w:right="-90"/>
        <w:rPr>
          <w:rFonts w:ascii="Roboto" w:cs="Roboto" w:eastAsia="Roboto" w:hAnsi="Roboto"/>
          <w:b w:val="1"/>
          <w:color w:val="28359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283592"/>
          <w:sz w:val="24"/>
          <w:szCs w:val="24"/>
          <w:rtl w:val="0"/>
        </w:rPr>
        <w:t xml:space="preserve">BENEFITS 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Customer was able to see</w:t>
      </w:r>
      <w:r w:rsidDel="00000000" w:rsidR="00000000" w:rsidRPr="00000000">
        <w:rPr>
          <w:rFonts w:ascii="Roboto" w:cs="Roboto" w:eastAsia="Roboto" w:hAnsi="Roboto"/>
          <w:b w:val="1"/>
          <w:color w:val="980000"/>
          <w:rtl w:val="0"/>
        </w:rPr>
        <w:t xml:space="preserve"> in-depth report cylinder-specific, do the necessary scope needed at bare minimum cost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color w:val="980000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With this approach, the customer is able to </w:t>
      </w:r>
      <w:r w:rsidDel="00000000" w:rsidR="00000000" w:rsidRPr="00000000">
        <w:rPr>
          <w:rFonts w:ascii="Roboto" w:cs="Roboto" w:eastAsia="Roboto" w:hAnsi="Roboto"/>
          <w:b w:val="1"/>
          <w:color w:val="980000"/>
          <w:rtl w:val="0"/>
        </w:rPr>
        <w:t xml:space="preserve">eliminate 2nd MOH  thus resulting in huge savings of $1,00,000 for each vessels</w:t>
      </w:r>
    </w:p>
    <w:p w:rsidR="00000000" w:rsidDel="00000000" w:rsidP="00000000" w:rsidRDefault="00000000" w:rsidRPr="00000000" w14:paraId="00000010">
      <w:pPr>
        <w:pageBreakBefore w:val="0"/>
        <w:ind w:left="0" w:right="225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.0000000000002" w:top="1440.0000000000002" w:left="187.08661417322838" w:right="437.95275590551284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pageBreakBefore w:val="0"/>
      <w:ind w:left="180" w:right="225" w:firstLine="0"/>
      <w:jc w:val="center"/>
      <w:rPr>
        <w:rFonts w:ascii="Montserrat" w:cs="Montserrat" w:eastAsia="Montserrat" w:hAnsi="Montserrat"/>
        <w:b w:val="1"/>
        <w:sz w:val="14"/>
        <w:szCs w:val="14"/>
      </w:rPr>
    </w:pPr>
    <w:r w:rsidDel="00000000" w:rsidR="00000000" w:rsidRPr="00000000">
      <w:rPr>
        <w:rtl w:val="0"/>
      </w:rPr>
    </w:r>
  </w:p>
  <w:tbl>
    <w:tblPr>
      <w:tblStyle w:val="Table2"/>
      <w:tblW w:w="11715.0" w:type="dxa"/>
      <w:jc w:val="center"/>
      <w:tblLayout w:type="fixed"/>
      <w:tblLook w:val="0600"/>
    </w:tblPr>
    <w:tblGrid>
      <w:gridCol w:w="11715"/>
      <w:tblGridChange w:id="0">
        <w:tblGrid>
          <w:gridCol w:w="11715"/>
        </w:tblGrid>
      </w:tblGridChange>
    </w:tblGrid>
    <w:tr>
      <w:trPr>
        <w:cantSplit w:val="0"/>
        <w:tblHeader w:val="0"/>
      </w:trPr>
      <w:tc>
        <w:tcPr>
          <w:shd w:fill="ff950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180" w:right="225" w:firstLine="0"/>
            <w:jc w:val="center"/>
            <w:rPr>
              <w:rFonts w:ascii="Montserrat" w:cs="Montserrat" w:eastAsia="Montserrat" w:hAnsi="Montserrat"/>
              <w:b w:val="1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1c4587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6">
          <w:pPr>
            <w:pageBreakBefore w:val="0"/>
            <w:ind w:left="180" w:right="225" w:firstLine="0"/>
            <w:jc w:val="center"/>
            <w:rPr>
              <w:rFonts w:ascii="Montserrat" w:cs="Montserrat" w:eastAsia="Montserrat" w:hAnsi="Montserrat"/>
              <w:color w:val="ffffff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Neptunus has 25+ years of experience &amp; expertise in reliability engineering solutions for engines, generators &amp; other rotating equipment. </w:t>
          </w:r>
        </w:p>
        <w:p w:rsidR="00000000" w:rsidDel="00000000" w:rsidP="00000000" w:rsidRDefault="00000000" w:rsidRPr="00000000" w14:paraId="00000028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Our solutions include Engine. Lifecycle Management, Asset Reliability Management &amp; Turnkey EPC &amp; MEP Services. We serve global customers in marine, oil &amp; gas, industrial and data centers. </w:t>
          </w:r>
        </w:p>
        <w:p w:rsidR="00000000" w:rsidDel="00000000" w:rsidP="00000000" w:rsidRDefault="00000000" w:rsidRPr="00000000" w14:paraId="00000029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hyperlink r:id="rId1">
            <w:r w:rsidDel="00000000" w:rsidR="00000000" w:rsidRPr="00000000">
              <w:rPr>
                <w:rFonts w:ascii="Roboto" w:cs="Roboto" w:eastAsia="Roboto" w:hAnsi="Roboto"/>
                <w:color w:val="ffffff"/>
                <w:sz w:val="12"/>
                <w:szCs w:val="12"/>
                <w:u w:val="single"/>
                <w:rtl w:val="0"/>
              </w:rPr>
              <w:t xml:space="preserve">www.neptunus-power.com</w:t>
            </w:r>
          </w:hyperlink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           I           </w:t>
          </w: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info@neptunus-power.com           I           </w:t>
          </w: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+91 95944 10707</w:t>
          </w:r>
        </w:p>
        <w:p w:rsidR="00000000" w:rsidDel="00000000" w:rsidP="00000000" w:rsidRDefault="00000000" w:rsidRPr="00000000" w14:paraId="0000002A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B">
    <w:pPr>
      <w:pageBreakBefore w:val="0"/>
      <w:ind w:left="180" w:right="225" w:firstLine="0"/>
      <w:jc w:val="center"/>
      <w:rPr>
        <w:rFonts w:ascii="Montserrat" w:cs="Montserrat" w:eastAsia="Montserrat" w:hAnsi="Montserrat"/>
        <w:b w:val="1"/>
        <w:sz w:val="14"/>
        <w:szCs w:val="1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5489439</wp:posOffset>
              </wp:positionH>
              <wp:positionV relativeFrom="paragraph">
                <wp:posOffset>0</wp:posOffset>
              </wp:positionV>
              <wp:extent cx="2035311" cy="3036206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636625" y="152400"/>
                        <a:ext cx="2035311" cy="3036206"/>
                        <a:chOff x="3636625" y="152400"/>
                        <a:chExt cx="4032326" cy="6015875"/>
                      </a:xfrm>
                    </wpg:grpSpPr>
                    <pic:pic>
                      <pic:nvPicPr>
                        <pic:cNvPr descr="CaseStudy-Image.png"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b="9853" l="24465" r="0" t="0"/>
                        <a:stretch/>
                      </pic:blipFill>
                      <pic:spPr>
                        <a:xfrm>
                          <a:off x="3636625" y="152400"/>
                          <a:ext cx="4032326" cy="601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5489439</wp:posOffset>
              </wp:positionH>
              <wp:positionV relativeFrom="paragraph">
                <wp:posOffset>0</wp:posOffset>
              </wp:positionV>
              <wp:extent cx="2035311" cy="3036206"/>
              <wp:effectExtent b="0" l="0" r="0" t="0"/>
              <wp:wrapSquare wrapText="bothSides" distB="0" distT="0" distL="0" distR="0"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35311" cy="303620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5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sz w:val="4"/>
        <w:szCs w:val="4"/>
        <w:rtl w:val="0"/>
      </w:rPr>
      <w:t xml:space="preserve">                          </w:t>
    </w:r>
    <w:r w:rsidDel="00000000" w:rsidR="00000000" w:rsidRPr="00000000">
      <w:rPr>
        <w:sz w:val="4"/>
        <w:szCs w:val="4"/>
      </w:rPr>
      <w:drawing>
        <wp:inline distB="114300" distT="114300" distL="114300" distR="114300">
          <wp:extent cx="1415982" cy="485775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5982" cy="4857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pageBreakBefore w:val="0"/>
      <w:ind w:left="90" w:right="225" w:firstLine="0"/>
      <w:rPr>
        <w:rFonts w:ascii="Montserrat" w:cs="Montserrat" w:eastAsia="Montserrat" w:hAnsi="Montserrat"/>
        <w:b w:val="1"/>
        <w:color w:val="1c4587"/>
        <w:sz w:val="36"/>
        <w:szCs w:val="3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pageBreakBefore w:val="0"/>
      <w:rPr>
        <w:rFonts w:ascii="Roboto" w:cs="Roboto" w:eastAsia="Roboto" w:hAnsi="Roboto"/>
        <w:b w:val="1"/>
        <w:color w:val="283592"/>
        <w:sz w:val="36"/>
        <w:szCs w:val="36"/>
      </w:rPr>
    </w:pPr>
    <w:r w:rsidDel="00000000" w:rsidR="00000000" w:rsidRPr="00000000">
      <w:rPr>
        <w:rFonts w:ascii="Roboto" w:cs="Roboto" w:eastAsia="Roboto" w:hAnsi="Roboto"/>
        <w:b w:val="1"/>
        <w:color w:val="283592"/>
        <w:sz w:val="36"/>
        <w:szCs w:val="36"/>
        <w:rtl w:val="0"/>
      </w:rPr>
      <w:t xml:space="preserve">Neptunus’ Engine Condition Monitoring System assisted in fault finding to extend major overhaul which otherwise costs </w:t>
    </w:r>
    <w:r w:rsidDel="00000000" w:rsidR="00000000" w:rsidRPr="00000000">
      <w:rPr>
        <w:rFonts w:ascii="Roboto" w:cs="Roboto" w:eastAsia="Roboto" w:hAnsi="Roboto"/>
        <w:b w:val="1"/>
        <w:color w:val="980000"/>
        <w:sz w:val="36"/>
        <w:szCs w:val="36"/>
        <w:rtl w:val="0"/>
      </w:rPr>
      <w:t xml:space="preserve">~$2,5</w:t>
    </w:r>
    <w:r w:rsidDel="00000000" w:rsidR="00000000" w:rsidRPr="00000000">
      <w:rPr>
        <w:rFonts w:ascii="Roboto" w:cs="Roboto" w:eastAsia="Roboto" w:hAnsi="Roboto"/>
        <w:b w:val="1"/>
        <w:color w:val="980000"/>
        <w:sz w:val="36"/>
        <w:szCs w:val="36"/>
        <w:rtl w:val="0"/>
      </w:rPr>
      <w:t xml:space="preserve">0,000</w:t>
    </w:r>
    <w:r w:rsidDel="00000000" w:rsidR="00000000" w:rsidRPr="00000000">
      <w:rPr>
        <w:rFonts w:ascii="Roboto" w:cs="Roboto" w:eastAsia="Roboto" w:hAnsi="Roboto"/>
        <w:b w:val="1"/>
        <w:color w:val="ff0000"/>
        <w:sz w:val="36"/>
        <w:szCs w:val="36"/>
        <w:rtl w:val="0"/>
      </w:rPr>
      <w:t xml:space="preserve"> </w:t>
    </w:r>
    <w:r w:rsidDel="00000000" w:rsidR="00000000" w:rsidRPr="00000000">
      <w:rPr>
        <w:rFonts w:ascii="Roboto" w:cs="Roboto" w:eastAsia="Roboto" w:hAnsi="Roboto"/>
        <w:b w:val="1"/>
        <w:color w:val="283592"/>
        <w:sz w:val="36"/>
        <w:szCs w:val="36"/>
        <w:rtl w:val="0"/>
      </w:rPr>
      <w:t xml:space="preserve">for 7 vessels</w:t>
    </w:r>
  </w:p>
  <w:p w:rsidR="00000000" w:rsidDel="00000000" w:rsidP="00000000" w:rsidRDefault="00000000" w:rsidRPr="00000000" w14:paraId="0000001A">
    <w:pPr>
      <w:pageBreakBefore w:val="0"/>
      <w:rPr>
        <w:rFonts w:ascii="Roboto" w:cs="Roboto" w:eastAsia="Roboto" w:hAnsi="Roboto"/>
        <w:b w:val="1"/>
        <w:color w:val="283592"/>
        <w:sz w:val="36"/>
        <w:szCs w:val="36"/>
      </w:rPr>
    </w:pPr>
    <w:r w:rsidDel="00000000" w:rsidR="00000000" w:rsidRPr="00000000">
      <w:rPr>
        <w:rtl w:val="0"/>
      </w:rPr>
    </w:r>
  </w:p>
  <w:tbl>
    <w:tblPr>
      <w:tblStyle w:val="Table1"/>
      <w:tblW w:w="7170.0" w:type="dxa"/>
      <w:jc w:val="left"/>
      <w:tblInd w:w="0.0" w:type="pct"/>
      <w:tblBorders>
        <w:top w:color="efefef" w:space="0" w:sz="8" w:val="single"/>
        <w:left w:color="efefef" w:space="0" w:sz="8" w:val="single"/>
        <w:bottom w:color="efefef" w:space="0" w:sz="8" w:val="single"/>
        <w:right w:color="efefef" w:space="0" w:sz="8" w:val="single"/>
        <w:insideH w:color="efefef" w:space="0" w:sz="8" w:val="single"/>
        <w:insideV w:color="efefef" w:space="0" w:sz="8" w:val="single"/>
      </w:tblBorders>
      <w:tblLayout w:type="fixed"/>
      <w:tblLook w:val="0600"/>
    </w:tblPr>
    <w:tblGrid>
      <w:gridCol w:w="2805"/>
      <w:gridCol w:w="4365"/>
      <w:tblGridChange w:id="0">
        <w:tblGrid>
          <w:gridCol w:w="2805"/>
          <w:gridCol w:w="4365"/>
        </w:tblGrid>
      </w:tblGridChange>
    </w:tblGrid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1B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INDUSTRY SEGMENT: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1C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Marine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1D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CUSTOMER: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1E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Harbour Tug </w:t>
          </w: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operator in India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1F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EQUIPMENT: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0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Niigat </w:t>
          </w: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make diesel engines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1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ARM SOLUTION: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2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Engine Condition Monitoring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3">
    <w:pPr>
      <w:pageBreakBefore w:val="0"/>
      <w:spacing w:line="360" w:lineRule="auto"/>
      <w:ind w:right="225"/>
      <w:rPr>
        <w:sz w:val="4"/>
        <w:szCs w:val="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neptunus-power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