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CHALLENGE 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High cost of new lube oil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due to frequent oil changes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on 5 CAT diesel engines onboard an offshore rig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Long response time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(typically 8-10 weeks) for lab reports on oil samples, and 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he data by then is outdated. 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Based on their previous experience, the rig team was manually extending the oil change interval from the OEM recommended 1000 hours to 2000 hours.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However this was not a data-backed decision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and lube oil contamination was frequent.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team regretted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lack of real-time visibility of the oil quality.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~USD 80,000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was being spent on new oil over the 3 years contract period per rig.</w:t>
      </w:r>
    </w:p>
    <w:p w:rsidR="00000000" w:rsidDel="00000000" w:rsidP="00000000" w:rsidRDefault="00000000" w:rsidRPr="00000000" w14:paraId="00000008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SOLUTION 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 has been a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preferred partner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to this customer for engine maintenance across their multiple rigs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4886325</wp:posOffset>
            </wp:positionH>
            <wp:positionV relativeFrom="paragraph">
              <wp:posOffset>100013</wp:posOffset>
            </wp:positionV>
            <wp:extent cx="2618197" cy="1395413"/>
            <wp:effectExtent b="12700" l="12700" r="12700" t="12700"/>
            <wp:wrapSquare wrapText="bothSides" distB="57150" distT="57150" distL="57150" distR="5715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20629" l="1330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8197" cy="1395413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Customer deployed Neptunus’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online oil quality monitoring sensor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(part of Neptunus’ 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Asset Reliability Management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solution) on all 5 engines of 4 rigs.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This sensor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installed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in the oil line continuously monitored oil quality and displayed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overall oil quality index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(combined reflection of 22 parameters like viscosity, moisture, oxidation, particles etc.),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temperature 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and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remaining useful life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of oil. Using IIoT interface &amp; cloud, this data can also be remote monitored &amp; trended. 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720" w:right="116.22047244094574" w:hanging="360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This helped the customer make a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confident data-backed decision 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to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extend the oil change interval to 3300+ hours.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This was 3 times the standard OEM interval, and 1.5 times of the existing practices. </w:t>
      </w:r>
    </w:p>
    <w:p w:rsidR="00000000" w:rsidDel="00000000" w:rsidP="00000000" w:rsidRDefault="00000000" w:rsidRPr="00000000" w14:paraId="0000000E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BENEFITS 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Early warning of lube oil contamination!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Lube oil related issues cause 54% of machine failures and these are potentially prevented by real-time monitoring. (Ref: Noria Corporation)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Roboto" w:cs="Roboto" w:eastAsia="Roboto" w:hAnsi="Roboto"/>
          <w:color w:val="98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On one rig, actual savings over initial 12 month period of deployment of solution = $1800/engine = $9000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Benchmark savings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over the standard OEM oil change recommended interval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per engine ~$110,000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(67% saving of standard lube oil spend per engine of $160,000 over 3 years)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For 4 rigs, projected savings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for this Customer over the 3 year contract =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~$108,000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Roboto" w:cs="Roboto" w:eastAsia="Roboto" w:hAnsi="Roboto"/>
          <w:color w:val="98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Saving logistical hassles of disposing dirty oil, while being environmentally responsible. </w:t>
      </w:r>
    </w:p>
    <w:p w:rsidR="00000000" w:rsidDel="00000000" w:rsidP="00000000" w:rsidRDefault="00000000" w:rsidRPr="00000000" w14:paraId="00000015">
      <w:pPr>
        <w:pageBreakBefore w:val="0"/>
        <w:ind w:left="135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187.08661417322838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B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2D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2E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2F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0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5715525</wp:posOffset>
              </wp:positionH>
              <wp:positionV relativeFrom="paragraph">
                <wp:posOffset>28575</wp:posOffset>
              </wp:positionV>
              <wp:extent cx="1819012" cy="264775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75550" y="152400"/>
                        <a:ext cx="1819012" cy="2647752"/>
                        <a:chOff x="475550" y="152400"/>
                        <a:chExt cx="4911954" cy="7162800"/>
                      </a:xfrm>
                    </wpg:grpSpPr>
                    <pic:pic>
                      <pic:nvPicPr>
                        <pic:cNvPr descr="Untitled design (21)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0" l="15711" r="15711" t="0"/>
                        <a:stretch/>
                      </pic:blipFill>
                      <pic:spPr>
                        <a:xfrm>
                          <a:off x="475550" y="152400"/>
                          <a:ext cx="4911954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5715525</wp:posOffset>
              </wp:positionH>
              <wp:positionV relativeFrom="paragraph">
                <wp:posOffset>28575</wp:posOffset>
              </wp:positionV>
              <wp:extent cx="1819012" cy="2647752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19012" cy="264775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9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rPr>
        <w:rFonts w:ascii="Raleway" w:cs="Raleway" w:eastAsia="Raleway" w:hAnsi="Raleway"/>
        <w:b w:val="1"/>
        <w:color w:val="1c4587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Oil Quality Management solution unlocks potential savings of 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~$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108,000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on fleet of 4 rigs over three year contract period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ind w:left="90" w:right="225" w:firstLine="0"/>
      <w:rPr>
        <w:rFonts w:ascii="Montserrat" w:cs="Montserrat" w:eastAsia="Montserrat" w:hAnsi="Montserrat"/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7170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4365"/>
      <w:tblGridChange w:id="0">
        <w:tblGrid>
          <w:gridCol w:w="2805"/>
          <w:gridCol w:w="4365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0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1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Oil &amp; Gas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2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3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Jack Up rig operator in India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4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5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Caterpillar make diesel engines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6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7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Real-time oil quality monitoring sensor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